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95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1979"/>
        <w:gridCol w:w="4091"/>
      </w:tblGrid>
      <w:tr w:rsidR="00C044B6" w:rsidRPr="00C044B6" w:rsidTr="00C044B6">
        <w:trPr>
          <w:trHeight w:val="1590"/>
        </w:trPr>
        <w:tc>
          <w:tcPr>
            <w:tcW w:w="38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4B6" w:rsidRPr="00C044B6" w:rsidRDefault="00C044B6" w:rsidP="00C044B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Баш</w:t>
            </w:r>
            <w:proofErr w:type="gram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k</w:t>
            </w:r>
            <w:proofErr w:type="spellStart"/>
            <w:proofErr w:type="gram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ортостан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Республика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h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ы</w:t>
            </w:r>
          </w:p>
          <w:p w:rsidR="00C044B6" w:rsidRPr="00C044B6" w:rsidRDefault="00C044B6" w:rsidP="00C044B6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</w:t>
            </w:r>
            <w:proofErr w:type="gram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proofErr w:type="gram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районы </w:t>
            </w:r>
            <w:proofErr w:type="spell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муниципаль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районыны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n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Бо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fz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ан </w:t>
            </w:r>
            <w:proofErr w:type="spell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советы </w:t>
            </w:r>
            <w:proofErr w:type="spellStart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ауыл</w:t>
            </w:r>
            <w:proofErr w:type="spellEnd"/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бил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val="en-US" w:eastAsia="ar-SA"/>
              </w:rPr>
              <w:t>eh</w:t>
            </w: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е </w:t>
            </w:r>
          </w:p>
          <w:p w:rsidR="00C044B6" w:rsidRPr="00C044B6" w:rsidRDefault="00C044B6" w:rsidP="00C044B6">
            <w:pPr>
              <w:tabs>
                <w:tab w:val="left" w:pos="1425"/>
                <w:tab w:val="center" w:pos="1754"/>
              </w:tabs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C044B6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Советы</w:t>
            </w:r>
          </w:p>
        </w:tc>
        <w:tc>
          <w:tcPr>
            <w:tcW w:w="19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4B6" w:rsidRPr="00C044B6" w:rsidRDefault="00C044B6" w:rsidP="00C044B6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D21834" wp14:editId="4DF756B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26670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44B6" w:rsidRPr="00C044B6" w:rsidRDefault="00C044B6" w:rsidP="00C044B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044B6" w:rsidRPr="00C044B6" w:rsidRDefault="00C044B6" w:rsidP="00C044B6">
            <w:pPr>
              <w:spacing w:line="254" w:lineRule="auto"/>
              <w:jc w:val="center"/>
              <w:rPr>
                <w:rFonts w:ascii="Century Tat" w:eastAsia="Calibri" w:hAnsi="Century Tat" w:cs="Times New Roman"/>
                <w:sz w:val="24"/>
                <w:szCs w:val="24"/>
              </w:rPr>
            </w:pPr>
            <w:r w:rsidRPr="00C044B6">
              <w:rPr>
                <w:rFonts w:ascii="Century Tat" w:eastAsia="Calibri" w:hAnsi="Century Tat" w:cs="Times New Roman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C044B6">
              <w:rPr>
                <w:rFonts w:ascii="Century Tat" w:eastAsia="Calibri" w:hAnsi="Century Tat" w:cs="Times New Roman"/>
                <w:sz w:val="24"/>
                <w:szCs w:val="24"/>
              </w:rPr>
              <w:t>Богдановский</w:t>
            </w:r>
            <w:proofErr w:type="spellEnd"/>
            <w:r w:rsidRPr="00C044B6">
              <w:rPr>
                <w:rFonts w:ascii="Century Tat" w:eastAsia="Calibri" w:hAnsi="Century Tat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044B6">
              <w:rPr>
                <w:rFonts w:ascii="Century Tat" w:eastAsia="Calibri" w:hAnsi="Century Tat" w:cs="Times New Roman"/>
                <w:sz w:val="24"/>
                <w:szCs w:val="24"/>
              </w:rPr>
              <w:t>Миякинский</w:t>
            </w:r>
            <w:proofErr w:type="spellEnd"/>
            <w:r w:rsidRPr="00C044B6">
              <w:rPr>
                <w:rFonts w:ascii="Century Tat" w:eastAsia="Calibri" w:hAnsi="Century Tat" w:cs="Times New Roman"/>
                <w:sz w:val="24"/>
                <w:szCs w:val="24"/>
              </w:rPr>
              <w:t xml:space="preserve"> район Республики Башкортостан</w:t>
            </w:r>
            <w:bookmarkStart w:id="0" w:name="_GoBack"/>
            <w:bookmarkEnd w:id="0"/>
          </w:p>
        </w:tc>
      </w:tr>
    </w:tbl>
    <w:p w:rsidR="00C044B6" w:rsidRPr="00C044B6" w:rsidRDefault="00C044B6" w:rsidP="00C044B6">
      <w:pPr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       РЕШЕНИЕ</w:t>
      </w:r>
    </w:p>
    <w:p w:rsidR="00C044B6" w:rsidRPr="00C044B6" w:rsidRDefault="00C044B6" w:rsidP="00C044B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4B6" w:rsidRPr="00C044B6" w:rsidRDefault="00C044B6" w:rsidP="00C044B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44B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нормативов формирования расходов на оплату труда в органах местного самоуправления СП </w:t>
      </w:r>
      <w:proofErr w:type="spellStart"/>
      <w:r w:rsidRPr="00C044B6">
        <w:rPr>
          <w:rFonts w:ascii="Times New Roman" w:eastAsia="Calibri" w:hAnsi="Times New Roman" w:cs="Times New Roman"/>
          <w:b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сельсовет.</w:t>
      </w:r>
    </w:p>
    <w:p w:rsidR="00C044B6" w:rsidRPr="00C044B6" w:rsidRDefault="00C044B6" w:rsidP="00C044B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4B6" w:rsidRPr="00C044B6" w:rsidRDefault="00C044B6" w:rsidP="00C044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C044B6">
        <w:rPr>
          <w:rFonts w:ascii="Times New Roman" w:eastAsia="Calibri" w:hAnsi="Times New Roman" w:cs="Times New Roman"/>
          <w:sz w:val="28"/>
          <w:szCs w:val="28"/>
        </w:rPr>
        <w:t>Руководствуясь статьей 22 Федерального закона от  2 марта 2007 года №25-ФЗ «О муниципальной службе в Российской Федерации», статьей  12 Закона Республики  Башкортостан от 16 июля 2007 года № 453-з «О муниципальной службе в Республике Башкортостан», а также 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</w:t>
      </w:r>
      <w:proofErr w:type="gram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Республике Башкортостан»,   Постановлением  Правительства Республики Башкортостан от 28 мая 2018 года № 234 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 решил:</w:t>
      </w:r>
    </w:p>
    <w:p w:rsidR="00C044B6" w:rsidRPr="00C044B6" w:rsidRDefault="00C044B6" w:rsidP="00C044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1.Утвердить нормативы формирования расходов на оплату труда в органах местного самоуправления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согласно приложению.</w:t>
      </w:r>
    </w:p>
    <w:p w:rsidR="00C044B6" w:rsidRPr="00C044B6" w:rsidRDefault="00C044B6" w:rsidP="00C044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2. Решение Совета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от 21.04.2014  №147 «Об утверждении нормативов формирования расходов на оплату труда в органах местного самоуправления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признать утратившим силу.</w:t>
      </w:r>
    </w:p>
    <w:p w:rsidR="00C044B6" w:rsidRPr="00C044B6" w:rsidRDefault="00C044B6" w:rsidP="00C044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3. Настоящее решение распространяется на правоотношения, возникшие с 1 мая 2018 года.</w:t>
      </w:r>
    </w:p>
    <w:p w:rsidR="00C044B6" w:rsidRPr="00C044B6" w:rsidRDefault="00C044B6" w:rsidP="00C044B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044B6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по бюджету, налогам и вопросам собственности.</w:t>
      </w:r>
    </w:p>
    <w:p w:rsidR="00C044B6" w:rsidRPr="00C044B6" w:rsidRDefault="00C044B6" w:rsidP="00C044B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44B6" w:rsidRPr="00C044B6" w:rsidRDefault="00C044B6" w:rsidP="00C044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    З.Ф.Амирова</w:t>
      </w:r>
    </w:p>
    <w:p w:rsidR="00C044B6" w:rsidRPr="00C044B6" w:rsidRDefault="00C044B6" w:rsidP="00C044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044B6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C044B6">
        <w:rPr>
          <w:rFonts w:ascii="Times New Roman" w:eastAsia="Calibri" w:hAnsi="Times New Roman" w:cs="Times New Roman"/>
          <w:sz w:val="28"/>
          <w:szCs w:val="28"/>
        </w:rPr>
        <w:t>огданово</w:t>
      </w:r>
      <w:proofErr w:type="spellEnd"/>
    </w:p>
    <w:p w:rsidR="00C044B6" w:rsidRPr="00C044B6" w:rsidRDefault="00C044B6" w:rsidP="00C044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25.06.2018 г </w:t>
      </w:r>
    </w:p>
    <w:p w:rsidR="00C044B6" w:rsidRPr="00C044B6" w:rsidRDefault="00C044B6" w:rsidP="00C044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№135</w:t>
      </w:r>
    </w:p>
    <w:p w:rsidR="00C044B6" w:rsidRPr="00C044B6" w:rsidRDefault="00C044B6" w:rsidP="00C044B6">
      <w:pPr>
        <w:keepNext/>
        <w:spacing w:before="240" w:after="6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44B6" w:rsidRPr="00C044B6" w:rsidRDefault="00C044B6" w:rsidP="00C044B6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44B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C044B6" w:rsidRPr="00C044B6" w:rsidRDefault="00C044B6" w:rsidP="00C044B6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44B6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</w:rPr>
        <w:t xml:space="preserve"> район РБ</w:t>
      </w:r>
    </w:p>
    <w:p w:rsidR="00C044B6" w:rsidRPr="00C044B6" w:rsidRDefault="00C044B6" w:rsidP="00C044B6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44B6">
        <w:rPr>
          <w:rFonts w:ascii="Times New Roman" w:eastAsia="Times New Roman" w:hAnsi="Times New Roman" w:cs="Times New Roman"/>
          <w:sz w:val="24"/>
          <w:szCs w:val="24"/>
        </w:rPr>
        <w:t xml:space="preserve">№135   от 25.06.2018г.               </w:t>
      </w:r>
    </w:p>
    <w:p w:rsidR="00C044B6" w:rsidRPr="00C044B6" w:rsidRDefault="00C044B6" w:rsidP="00C044B6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04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РАСХОДОВ НА ОПЛАТУ ТРУДА В ОРГАНАХ МЕСТНОГО САМОУПРАВЛЕНИЯ МУНИЦИПАЛЬНОГО РАЙОНА МИЯКИНСКИЙ РАЙОН РЕСПУБЛИКИ БАШКОРТОСТАН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Настоящие нормативы устанавливают размер расходов на оплату труда в Администрации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в бюджетах которых доля межбюджетных трансфертов из бюджета Республики Башкортостан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бюджета.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044B6">
        <w:rPr>
          <w:rFonts w:ascii="Times New Roman" w:eastAsia="Calibri" w:hAnsi="Times New Roman" w:cs="Times New Roman"/>
          <w:b/>
          <w:sz w:val="24"/>
          <w:szCs w:val="24"/>
        </w:rPr>
        <w:t>1. Состав денежного содержания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>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квалификационный разряд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других ежемесячных и иных дополнительных выплат.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044B6">
        <w:rPr>
          <w:rFonts w:ascii="Times New Roman" w:eastAsia="Calibri" w:hAnsi="Times New Roman" w:cs="Times New Roman"/>
          <w:b/>
          <w:sz w:val="24"/>
          <w:szCs w:val="24"/>
        </w:rPr>
        <w:t>2. Денежные вознаграждения и должностные оклады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2.1. Должностные оклады муниципальным служащим и ежемесячные денежные поощрения устанавливаются в пределах, определенных </w:t>
      </w:r>
      <w:hyperlink r:id="rId6" w:history="1">
        <w:r w:rsidRPr="00C044B6">
          <w:rPr>
            <w:rFonts w:ascii="Times New Roman" w:eastAsia="Calibri" w:hAnsi="Times New Roman" w:cs="Times New Roman"/>
            <w:sz w:val="24"/>
            <w:szCs w:val="24"/>
          </w:rPr>
          <w:t>приложением № 1</w:t>
        </w:r>
      </w:hyperlink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к настоящим нормативам.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2.2. Денежные вознаграждения, должностные оклады и ежемесячные денежные поощрения, оклады лицам, замещающим муниципальные должности, устанавливаются согласно группам оплаты труда: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044B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Администрация сельского поселения </w:t>
      </w:r>
      <w:proofErr w:type="spellStart"/>
      <w:r w:rsidRPr="00C044B6">
        <w:rPr>
          <w:rFonts w:ascii="Times New Roman" w:eastAsia="Calibri" w:hAnsi="Times New Roman" w:cs="Times New Roman"/>
          <w:color w:val="000000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Calibri" w:hAnsi="Times New Roman" w:cs="Times New Roman"/>
          <w:color w:val="000000"/>
          <w:sz w:val="24"/>
          <w:szCs w:val="24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 относятся к 6 группе.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044B6">
        <w:rPr>
          <w:rFonts w:ascii="Times New Roman" w:eastAsia="Calibri" w:hAnsi="Times New Roman" w:cs="Times New Roman"/>
          <w:b/>
          <w:sz w:val="24"/>
          <w:szCs w:val="24"/>
        </w:rPr>
        <w:t>3. Условия денежного содержания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В пределах фонда оплаты труда главам сельских поселений, возглавляющие местные администрации и исполняющим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а) ежемесячное денежное поощрение в размере двух ежемесячных денежных вознаграждений;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в) материальная помощь в соответствии с положением, утвержденным представительным органом сельского поселения. 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3.1. Муниципальным служащим могут выплачиваться: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а) ежемесячная надбавка к должностному окладу за классный чин в </w:t>
      </w:r>
      <w:hyperlink r:id="rId7" w:history="1">
        <w:r w:rsidRPr="00C044B6">
          <w:rPr>
            <w:rFonts w:ascii="Times New Roman" w:eastAsia="Calibri" w:hAnsi="Times New Roman" w:cs="Times New Roman"/>
            <w:sz w:val="24"/>
            <w:szCs w:val="24"/>
          </w:rPr>
          <w:t>размерах</w:t>
        </w:r>
      </w:hyperlink>
      <w:r w:rsidRPr="00C044B6">
        <w:rPr>
          <w:rFonts w:ascii="Times New Roman" w:eastAsia="Calibri" w:hAnsi="Times New Roman" w:cs="Times New Roman"/>
          <w:sz w:val="24"/>
          <w:szCs w:val="24"/>
        </w:rPr>
        <w:t>, установленных приложением № 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а) ежемесячная надбавка к должностному окладу за особые условия службы в следующих размерах: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лицу, замещающему ведущую должность муниципальной службы, - от 90 до 120 процентов должностного оклада;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б) ежемесячная надбавка к должностному окладу за выслугу лет в следующих размерах: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при стаже муниципальной службы от 1 до 5 лет - 10 процентов должностного оклада;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при стаже муниципальной службы от 5 до 10 лет - 15 процентов должностного оклада;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при стаже муниципальной службы от 10 до 15 лет - 20 процентов должностного оклада;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при стаже муниципальной службы свыше 15 лет - 30 процентов должностного оклада.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нормативами;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в)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г) ежемесячное денежное поощрение: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муниципальным служащим - в размере 2 должностных окладов;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е) ежемесячная надбавка к должностному окладу лицам, допущенным к государственной тайне, - в размере и порядке, </w:t>
      </w:r>
      <w:proofErr w:type="gramStart"/>
      <w:r w:rsidRPr="00C044B6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proofErr w:type="gram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ж) в пределах фонда оплаты труда муниципальным служащим могут выплачиваться: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материальная помощь в соответствии с положением, утвержденным представителем нанимателя.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муниципальными правовыми актами соответствующих муниципальных образований.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044B6">
        <w:rPr>
          <w:rFonts w:ascii="Times New Roman" w:eastAsia="Calibri" w:hAnsi="Times New Roman" w:cs="Times New Roman"/>
          <w:b/>
          <w:sz w:val="24"/>
          <w:szCs w:val="24"/>
        </w:rPr>
        <w:t>4. Формирование фонда оплаты труда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4.1. При утверждении фондов оплаты труда лиц, замещающих муниципальные должности и должностных окладов муниципальных служащих, предусматриваются следующие размеры средств на выплату (в расчете на год):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lastRenderedPageBreak/>
        <w:t>а) ежемесячной надбавки за выслугу лет - в размере трех должностных окладов муниципальных служащих;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в) ежемесячной надбавки за классный чин - в размере четырех должностных окладов муниципальных служащих;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г) премии по результатам работы - в размере двух окладов денежного содержания муниципальных служащих;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ж) денежного поощрения - в установленном для его выплаты размере;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4B6">
        <w:rPr>
          <w:rFonts w:ascii="Times New Roman" w:eastAsia="Calibri" w:hAnsi="Times New Roman" w:cs="Times New Roman"/>
          <w:sz w:val="24"/>
          <w:szCs w:val="24"/>
        </w:rPr>
        <w:t>з) районного коэффициента в соответствии с законодательством.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Виды материального стимулирования.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и работникам устанавливаются следующие выплаты стимулирующего характера: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Премирование служащих и работников за успешное и качественное выполнение должностных обязанностей и поручений руководства.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Единовременная выплата при предоставлении ежегодного оплачиваемого отпуска муниципальным служащим и работникам.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Оказание материальной помощи при уходе в отпуск муниципальных служащих и работников, осуществляющих техническое обеспечение деятельности Администрации</w:t>
      </w: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Оказание материальной помощи в особых случаях (юбилейные и праздничные даты, несчастные случаи, стихийные бедствия и т.д.).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Надбавки к должностным окладам муниципальных служащих за особые условия службы, надбавки за сложность и напряженность работникам, осуществляющим техническое обеспечение деятельности Администрации</w:t>
      </w:r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4"/>
          <w:szCs w:val="24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Доплаты за совмещение профессий (должностей), расширение зон обслуживания и выполнение обязанностей временно отсутствующих муниципальных служащих и работников.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Условия, порядок материального стимулирования муниципальных служащих и работников.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Премирование.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для премирования муниципальных служащих и работников являются: успешное, качественное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вышестоящих органов власти и управления.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Премирование муниципальных служащих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производится вместе с заработной платой за успешное, качественное  и своевременное выполнение должностных обязанностей и поручений руководств, в зависимости от личного вклада работников по распоряжению главы сельского поселения с учетом работы, за квартал в размере 50 процентов денежного содержания.   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работников, осуществляющих техническое обеспечение деятельности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размере 50 процентов к должностному окладу, тарифной ставке с учетом установленных надбавок и доплат;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экономии по фонду оплаты труда решением главы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размер премии может быть увеличен, и (или) она может быть выплачена в другие сроки.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6.1.2. Муниципальные служащие и работники могут быть лишены премии распоряжением главы Администрации 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полностью или частично при наличии случаев нарушения трудовой или исполнительской дисциплины, совершенных за истекший период, за который начисляется премия, недолжного исполнения возложенных на него обязанностей и заданий. Основанием для лишения работника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Премии начисляются за фактически отработанное время.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проработавшим неполный месяц, и уволенным по основаниям, обусловленным невозможностью по тем или иным обстоятельствам продолжать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по ликвидации, сокращение численности или штата и в других случаях) выплата премии производится за фактически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отработанное время в данном учетном периоде.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За безупречную и эффективную муниципальную службу могут применяться следующие виды поощрения: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объявление благодарности с выплатой единовременного поощрения;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награждение почетной грамотой органа местного самоуправления, избирательной комиссии муниципального образования с выплатой единовременного поощрения или с вручением ценного подарка;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в должности муниципального служащего;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виды поощрения, установленные муниципальными правовыми актами.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Помимо видов поощрения муниципального служащего, установленных федеральным законодательством, муниципальными правовыми актами, к муниципальному служащему за успешное и добросовестное исполнение своих должностных обязанностей, продолжительную и безупречную службу применяются поощрения, предусмотренные законодательством Республики Башкортостан.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6.1.7. Решение о поощрении муниципального служащего в соответствии с </w:t>
      </w:r>
      <w:hyperlink r:id="rId8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6.1.5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принимается представителем нанимателя (работодателем), а решение о поощрении муниципального служащего в соответствии с </w:t>
      </w:r>
      <w:hyperlink r:id="rId9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6.1.6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принимается в порядке, установленном законодательством Республики Башкортостан.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6.1.8. Выплата муниципальному служащему единовременного поощрения, предусмотренного </w:t>
      </w:r>
      <w:hyperlink r:id="rId10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6.1.5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производится в порядке и размерах, утверждаемых представителем нанимателя (работодателем) в пределах установленного фонда оплаты труда муниципальных служащих.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предоставлении ежегодного оплачиваемого отпуска муниципальным служащим производится единовременная выплата в размере двух окладов денежного содержания в год на основании распоряжения главы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предоставлении ежегодного оплачиваемого отпуска или его части.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Оказание материальной помощи муниципальным служащим, работникам производится распоряжением главы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заявлениям.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Оказание материальной помощи при уходе в очередной отпуск 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работника, осуществляющего техническое обеспечение деятельности Администрации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производится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главы Администрации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размере двух должностных окладов (тарифных ставок).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 Материальная помощь муниципальным служащим, работникам Администрации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может быть выплачена в следующих случаях: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смерти близких родственников (родителей, детей, мужа (жены), родных братьев и сестер) на основании свидетельства о смерти;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рождении ребенка на основании свидетельства о рождении;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со свадьбой сотрудника на основании свидетельства о браке;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неотложной жизненной необходимости.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выплате материальной помощи в указанных случаях принимается главой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основании мотивированного заявления.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 В случае смерти (гибели) муниципального служащего, работника администрации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члену его семьи или его родителям, а при их отсутствии - другим родственникам на основании свидетельства о смерти может выплачиваться материальная помощь по заявлению, при предъявлении соответствующих документов.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Материальная помощь муниципальным служащим, работникам может выплачиваться в связи с юбилейными датами при достижении ими 50-летия, а также при достижении женщинами 55-летия, мужчинами - 60-летия со дня рождения.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6.3.5. Материальная помощь может выплачиваться бывшим муниципальным служащим, работникам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ушедшим на пенсию, по их заявлениям в следующих случаях: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связи с Днем пожилых людей, Днем Победы советского народа в Великой Отечественной войне и т.д.;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смертью близких родственников (родителей, супруга, детей), лечением и т.д.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6.3.6. В случае смерти (гибели) бывшего муниципального служащего, работника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материальная помощь может выплачиваться члену его семьи или его родителям, а при их отсутствии - другим родственникам на основании свидетельства о смерти по их заявлению при предъявлении соответствующих документов.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6.3.7. Конкретный размер материальной помощи, указанной в </w:t>
      </w:r>
      <w:hyperlink r:id="rId11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6.3.2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устанавливается главой Администрации 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производится за счет экономии по фонду оплаты труда текущего года.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6.3.8. 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может быть оказана также в связи с праздничными датами по распоряжению Правительства Республики Башкортостан, в связи с подготовкой и проведением праздника "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Шэжэре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байрам",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 в  сельском поселении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размере месячного фонда оплаты труда.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Надбавки и доплаты к должностным окладам муниципальных служащих и работников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к должностным окладам муниципальных служащих и работников за особые условия службы, надбавки за сложность и напряженность, осуществляющим техническое обеспечение деятельности администрации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устанавливаются для усиления материальной заинтересованности служащих и работников в улучшении </w:t>
      </w: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функциональных показателей, высоком качестве выполняемых работ, внедрении передовых методов организации труда.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служащих и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За совмещение профессий (должностей), расширение зон обслуживания, увеличение объема работы или исполнение обязанностей временно отсутствующих служащих и работников устанавливается доплата до 50 процентов должностного оклада (тарифной ставки) по основной работе.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6.4.5. На установление доплат за выполнение обязанностей временно отсутствующих служащих и работников может быть использовано не более 50 процентов должностного оклада (тарифной ставки) отсутствующего служащего и работника, независимо от числа лиц, между которыми распределяются эти доплаты.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6.4.6. 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служащих и работников устанавливается главой Администрации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 указанием совмещаемых профессий, зон обслуживания или замещаемой должности, объема дополнительно выполняемых работ и размера доплат в зависимости от сложности характера, объема выполняемых работ, степени использования рабочего времени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6.4.7. Надбавки и доплаты, указанные в </w:t>
      </w:r>
      <w:hyperlink r:id="rId13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6.4.1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history="1">
        <w:r w:rsidRPr="00C04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6.4.6</w:t>
        </w:r>
      </w:hyperlink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вводятся за счет и в пределах экономии фонда заработной платы, включаются в заработок, на который начисляется районный </w:t>
      </w:r>
      <w:proofErr w:type="gramStart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C0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учитываются при исчислении среднего заработка в порядке, установленном законодательством.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к нормативам формирования расходов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на оплату труда в органах местного самоуправления 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РАЗМЕРЫ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ДОЛЖНОСТНЫХ ОКЛАДОВ ЛИЦ, ЗАМЕЩАЮЩИХ МУНИЦИПАЛЬНЫЕ ДОЛЖНОСТИ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 администрации 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группа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должности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Должностной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  (денежное</w:t>
      </w:r>
      <w:proofErr w:type="gramEnd"/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вознаграждение), руб.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Глава сельского поселения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Courier New"/>
          <w:sz w:val="28"/>
          <w:szCs w:val="28"/>
          <w:lang w:eastAsia="ru-RU"/>
        </w:rPr>
        <w:t>12848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Управляющий делами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Courier New"/>
          <w:sz w:val="28"/>
          <w:szCs w:val="28"/>
          <w:lang w:eastAsia="ru-RU"/>
        </w:rPr>
        <w:t>3456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Специалист 2 категории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2700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к нормативам формирования расходов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на оплату труда в органах местного самоуправления  сельского поселения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Богдановский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proofErr w:type="spellStart"/>
      <w:r w:rsidRPr="00C044B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РАЗМЕРЫ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>НАДБАВОК ЗА КЛАССНЫЙ ЧИН ЛИЦАМ, ЗАМЕЩАЮЩИМ МУНИЦИПАЛЬНЫЕ ДОЛЖНОСТИ МУНИЦИПАЛЬНОЙ СЛУЖБЫ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сельского поселения </w:t>
      </w:r>
      <w:proofErr w:type="spellStart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чин            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надбавки,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руб.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Ведущая муниципальная должность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советник I класса  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1876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советник II класса 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1712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советник III класса    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1569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Старшая муниципальная должность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муниципальной службы I класса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1427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муниципальной службы II класса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1283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муниципальной службы III класса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1130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Младшая муниципальная должность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Референт муниципальной службы I класса 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1032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Референт муниципальной службы II класса  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911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Референт муниципальной службы III класса              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044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812</w:t>
      </w:r>
    </w:p>
    <w:p w:rsidR="00C044B6" w:rsidRPr="00C044B6" w:rsidRDefault="00C044B6" w:rsidP="00C044B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44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p w:rsidR="00C044B6" w:rsidRPr="00C044B6" w:rsidRDefault="00C044B6" w:rsidP="00C044B6">
      <w:pPr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44B6" w:rsidRPr="00C044B6" w:rsidRDefault="00C044B6" w:rsidP="00C044B6">
      <w:pPr>
        <w:spacing w:line="240" w:lineRule="auto"/>
        <w:contextualSpacing/>
        <w:jc w:val="both"/>
        <w:rPr>
          <w:rFonts w:ascii="Calibri" w:eastAsia="Calibri" w:hAnsi="Calibri" w:cs="Times New Roman"/>
          <w:szCs w:val="28"/>
        </w:rPr>
      </w:pPr>
      <w:r w:rsidRPr="00C04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44B6" w:rsidRPr="00C044B6" w:rsidRDefault="00C044B6" w:rsidP="00C044B6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A3EF3" w:rsidRDefault="005A3EF3"/>
    <w:sectPr w:rsidR="005A3EF3" w:rsidSect="00C044B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E"/>
    <w:rsid w:val="005A3EF3"/>
    <w:rsid w:val="00C044B6"/>
    <w:rsid w:val="00C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50ABEBCE616C5EC1FF5F897DC6F016E98386A823A06D30DF1C8AA7ED9FAD6A353F7786DED41554BEA18Y5K0F" TargetMode="External"/><Relationship Id="rId13" Type="http://schemas.openxmlformats.org/officeDocument/2006/relationships/hyperlink" Target="consultantplus://offline/ref=7A250ABEBCE616C5EC1FF5F897DC6F016E98386A823A06D30DF1C8AA7ED9FAD6A353F7786DED41554BEB11Y5K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9870;fld=134;dst=100191" TargetMode="External"/><Relationship Id="rId12" Type="http://schemas.openxmlformats.org/officeDocument/2006/relationships/hyperlink" Target="consultantplus://offline/ref=7A250ABEBCE616C5EC1FF5F897DC6F016E98386A823A06D30DF1C8AA7ED9FAD6A353F7786DED41554BEB11Y5K7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9870;fld=134;dst=100082" TargetMode="External"/><Relationship Id="rId11" Type="http://schemas.openxmlformats.org/officeDocument/2006/relationships/hyperlink" Target="consultantplus://offline/ref=7A250ABEBCE616C5EC1FF5F897DC6F016E98386A823A06D30DF1C8AA7ED9FAD6A353F7786DED41554BEB10Y5K6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250ABEBCE616C5EC1FF5F897DC6F016E98386A823A06D30DF1C8AA7ED9FAD6A353F7786DED41554BEA18Y5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50ABEBCE616C5EC1FF5F897DC6F016E98386A823A06D30DF1C8AA7ED9FAD6A353F7786DED41554BEA19Y5K7F" TargetMode="External"/><Relationship Id="rId14" Type="http://schemas.openxmlformats.org/officeDocument/2006/relationships/hyperlink" Target="consultantplus://offline/ref=7A250ABEBCE616C5EC1FF5F897DC6F016E98386A823A06D30DF1C8AA7ED9FAD6A353F7786DED41554BEA18Y5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3644</Words>
  <Characters>20774</Characters>
  <Application>Microsoft Office Word</Application>
  <DocSecurity>0</DocSecurity>
  <Lines>173</Lines>
  <Paragraphs>48</Paragraphs>
  <ScaleCrop>false</ScaleCrop>
  <Company>Microsoft</Company>
  <LinksUpToDate>false</LinksUpToDate>
  <CharactersWithSpaces>24370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BogMain</dc:creator>
  <cp:keywords/>
  <dc:description/>
  <cp:lastModifiedBy>BogMain</cp:lastModifiedBy>
  <cp:revision>2</cp:revision>
  <dcterms:created xsi:type="dcterms:W3CDTF">2018-08-23T11:17:00Z</dcterms:created>
  <dcterms:modified xsi:type="dcterms:W3CDTF">2018-08-23T11:18:00Z</dcterms:modified>
</cp:coreProperties>
</file>